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4EB58185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bookmarkStart w:id="0" w:name="Text2"/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  <w:bookmarkEnd w:id="0"/>
    </w:p>
    <w:p w14:paraId="59466B6D" w14:textId="15B674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E" w14:textId="139CF33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F" w14:textId="072BE7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71" w14:textId="1B54729C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126224" w:rsidRPr="00126224">
        <w:rPr>
          <w:b/>
          <w:bCs/>
        </w:rPr>
        <w:t>Provádění revizí elektrických zařízení OŘ HK 2026 (SEE, SPS, SMT)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7A0A61" w:rsidRDefault="00D45C59" w:rsidP="007A0A61">
            <w:pPr>
              <w:pStyle w:val="tabulka"/>
              <w:widowControl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5C7054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7A0A61" w:rsidRDefault="00871841" w:rsidP="007A0A61">
            <w:pPr>
              <w:pStyle w:val="tabulka"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4B9DBFB7" w:rsidR="00AC2CF0" w:rsidRPr="007A0A61" w:rsidRDefault="00126224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7A0A61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</w:t>
                </w:r>
                <w:r w:rsidR="009F7412" w:rsidRPr="007A0A61">
                  <w:rPr>
                    <w:rStyle w:val="Zstupntext"/>
                  </w:rPr>
                  <w:t>, např. „</w:t>
                </w:r>
                <w:r w:rsidR="001A3814" w:rsidRPr="007A0A61">
                  <w:rPr>
                    <w:rStyle w:val="Zstupntext"/>
                    <w:b/>
                  </w:rPr>
                  <w:t xml:space="preserve">Čl. 6 odst. 6.1 </w:t>
                </w:r>
                <w:r w:rsidR="009F7412" w:rsidRPr="007A0A61">
                  <w:rPr>
                    <w:rStyle w:val="Zstupntext"/>
                    <w:b/>
                  </w:rPr>
                  <w:t xml:space="preserve"> smlouvy</w:t>
                </w:r>
                <w:r w:rsidRPr="007A0A61">
                  <w:rPr>
                    <w:rStyle w:val="Zstupntext"/>
                    <w:b/>
                  </w:rPr>
                  <w:t>.</w:t>
                </w:r>
                <w:r w:rsidR="009F7412" w:rsidRPr="007A0A61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A0A61" w:rsidRDefault="00126224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A0A61" w:rsidRDefault="00126224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362967F3" w:rsidR="009F392E" w:rsidRPr="008D153F" w:rsidRDefault="008145D7" w:rsidP="008D153F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8D153F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8F9B5" w14:textId="38898C7C" w:rsidR="00BA547B" w:rsidRDefault="00BA547B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0FDF49EA" wp14:editId="117AF5DE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1566914250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43F766" w14:textId="2C76D73A" w:rsidR="00BA547B" w:rsidRPr="00BA547B" w:rsidRDefault="00BA547B" w:rsidP="00BA547B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A547B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DF49EA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left:0;text-align:left;margin-left:0;margin-top:0;width:38.9pt;height:30.35pt;z-index:25166438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4A43F766" w14:textId="2C76D73A" w:rsidR="00BA547B" w:rsidRPr="00BA547B" w:rsidRDefault="00BA547B" w:rsidP="00BA547B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BA547B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1756A571" w:rsidR="00F1715C" w:rsidRPr="00B8518B" w:rsidRDefault="00BA547B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5408" behindDoc="0" locked="0" layoutInCell="1" allowOverlap="1" wp14:anchorId="72158F2E" wp14:editId="5D581821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85445"/>
                    <wp:effectExtent l="0" t="0" r="1270" b="14605"/>
                    <wp:wrapNone/>
                    <wp:docPr id="936873418" name="Textové pole 7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85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8D5697B" w14:textId="4E3C4583" w:rsidR="00BA547B" w:rsidRPr="00BA547B" w:rsidRDefault="00BA547B" w:rsidP="00BA547B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BA547B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72158F2E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" o:spid="_x0000_s1027" type="#_x0000_t202" alt="SŽ: Interní" style="position:absolute;left:0;text-align:left;margin-left:0;margin-top:0;width:38.9pt;height:30.35pt;z-index:25166540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" filled="f" stroked="f">
                    <v:fill o:detectmouseclick="t"/>
                    <v:textbox style="mso-fit-shape-to-text:t" inset="0,15pt,0,0">
                      <w:txbxContent>
                        <w:p w14:paraId="18D5697B" w14:textId="4E3C4583" w:rsidR="00BA547B" w:rsidRPr="00BA547B" w:rsidRDefault="00BA547B" w:rsidP="00BA547B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A547B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23BBFE5D" w:rsidR="00C715B9" w:rsidRDefault="00BA547B">
    <w:pPr>
      <w:pStyle w:val="Zhlav"/>
      <w:rPr>
        <w:szCs w:val="22"/>
      </w:rPr>
    </w:pPr>
    <w:r>
      <w:rPr>
        <w:noProof/>
        <w:szCs w:val="22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7E1A08F4" wp14:editId="7DED3673">
              <wp:simplePos x="1311965" y="381663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421306218" name="Textové pole 5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3F878C" w14:textId="743FFA5F" w:rsidR="00BA547B" w:rsidRPr="00BA547B" w:rsidRDefault="00BA547B" w:rsidP="00BA547B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BA547B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1A08F4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8" type="#_x0000_t202" alt="SŽ: Interní" style="position:absolute;left:0;text-align:left;margin-left:0;margin-top:0;width:38.9pt;height:30.35pt;z-index:25166336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" filled="f" stroked="f">
              <v:fill o:detectmouseclick="t"/>
              <v:textbox style="mso-fit-shape-to-text:t" inset="0,15pt,0,0">
                <w:txbxContent>
                  <w:p w14:paraId="643F878C" w14:textId="743FFA5F" w:rsidR="00BA547B" w:rsidRPr="00BA547B" w:rsidRDefault="00BA547B" w:rsidP="00BA547B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BA547B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715B9">
      <w:rPr>
        <w:szCs w:val="22"/>
      </w:rPr>
      <w:t xml:space="preserve">Příloha č. </w:t>
    </w:r>
    <w:r w:rsidR="005F15EC">
      <w:rPr>
        <w:szCs w:val="22"/>
      </w:rPr>
      <w:t>10</w:t>
    </w:r>
    <w:r w:rsidR="00C715B9">
      <w:rPr>
        <w:szCs w:val="22"/>
      </w:rPr>
      <w:t xml:space="preserve"> </w:t>
    </w:r>
    <w:r w:rsidR="00C715B9">
      <w:rPr>
        <w:lang w:eastAsia="cs-CZ"/>
      </w:rPr>
      <w:t>Výzvy k podání nabídek:</w:t>
    </w:r>
    <w:r w:rsidR="00C715B9"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24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B060A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3551C"/>
    <w:rsid w:val="00743525"/>
    <w:rsid w:val="00753004"/>
    <w:rsid w:val="0076286B"/>
    <w:rsid w:val="00766846"/>
    <w:rsid w:val="0077673A"/>
    <w:rsid w:val="007846E1"/>
    <w:rsid w:val="007A0A6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D153F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A547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2B060A"/>
    <w:rsid w:val="0049171C"/>
    <w:rsid w:val="00710200"/>
    <w:rsid w:val="0073551C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92</TotalTime>
  <Pages>1</Pages>
  <Words>478</Words>
  <Characters>2827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Králová Lenka, Ing.</cp:lastModifiedBy>
  <cp:revision>14</cp:revision>
  <cp:lastPrinted>2017-11-28T17:18:00Z</cp:lastPrinted>
  <dcterms:created xsi:type="dcterms:W3CDTF">2023-11-16T10:29:00Z</dcterms:created>
  <dcterms:modified xsi:type="dcterms:W3CDTF">2025-12-10T08:53:00Z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  <property fmtid="{D5CDD505-2E9C-101B-9397-08002B2CF9AE}" pid="4" name="ClassificationContentMarkingHeaderShapeIds">
    <vt:lpwstr>191c9f6a,5d6536ca,37d78dca</vt:lpwstr>
  </property>
  <property fmtid="{D5CDD505-2E9C-101B-9397-08002B2CF9AE}" pid="5" name="ClassificationContentMarkingHeaderFontProps">
    <vt:lpwstr>#000000,7,Verdana</vt:lpwstr>
  </property>
  <property fmtid="{D5CDD505-2E9C-101B-9397-08002B2CF9AE}" pid="6" name="ClassificationContentMarkingHeaderText">
    <vt:lpwstr>SŽ: Interní</vt:lpwstr>
  </property>
</Properties>
</file>